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466725" cy="48641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864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MINISTÉRIO DO DESENVOLVIMENTO REGIONAL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CONSELHO NACIONAL DE RECURSOS HÍDRICOS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32.62016296386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e-mail: cnrh@mdr.gov.br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1.1462402343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44ª REUNIÃO EXTRAORDINÁRIA DO CNRH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3.118896484375" w:line="240" w:lineRule="auto"/>
        <w:ind w:left="854.639816284179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 de agosto de 2020;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-34289</wp:posOffset>
            </wp:positionV>
            <wp:extent cx="455803" cy="655955"/>
            <wp:effectExtent b="0" l="0" r="0" t="0"/>
            <wp:wrapSquare wrapText="right" distB="19050" distT="19050" distL="19050" distR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803" cy="6559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6.31980895996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HORÁRIO: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14h30 às 18h00;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5.839767456054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Videoconferência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Teams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2.720947265625" w:line="240" w:lineRule="auto"/>
        <w:ind w:left="0" w:right="4247.1600341796875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PAUTA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7.117919921875" w:line="240" w:lineRule="auto"/>
        <w:ind w:left="445.919876098632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Abertura.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52099609375" w:line="229.90789890289307" w:lineRule="auto"/>
        <w:ind w:left="782.8798675537109" w:right="-6.400146484375" w:hanging="356.399993896484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Proposta de Resolução que “Prorroga o prazo da delegação de competência à Fundação  Agências das Bacias Hidrográficas dos Rios Piracicaba, Capivari e Jundiaí para o exercício  de funções inerentes à Agência de Águas das Bacias Hidrográficas dos Rios Piracicaba,  Capivari e Jundiaí, até 31 de dezembro de 2035”, encaminhada pela Câmara Técnica de  Outorga e Cobrança pelo Uso de Recursos Hídricos - CTOC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Processo nº  59000.031636/2019-64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25732421875" w:line="229.90792751312256" w:lineRule="auto"/>
        <w:ind w:left="780.4798126220703" w:right="-6.15966796875" w:hanging="350.879974365234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Proposta de Moção que “Recomenda ao Ministério da Economia que nas peças orçamentárias  propostas pelo poder executivo federal e nas normas regulamentares observe a inclusão das  receitas da cobrança pelo uso de recursos hídricos dentre as despesas que não são objeto de  limitação de empenho”, encaminhada pela Câmara Técnica de Outorga e Cobrança pelo Uso  de Recursos Hídricos - CTOC. Processo nº 59000.014606/2020-27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25732421875" w:line="229.99116897583008" w:lineRule="auto"/>
        <w:ind w:left="782.1598052978516" w:right="-6.15966796875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Proposta de Moção que “Apresenta considerações e recomendações quanto ao Projeto de Lei n. 550, de 2019, aprovado pela Câmara dos Deputados, visando subsidiar o Senado Federal  e a Presidência da República na tomada de decisão referente às alterações na Política  Nacional de Segurança de Barragens – PNSB”, encaminhada pela Câmara Técnica de  Segurança de Barragens – CTSB. Processo nº 59000.012465/2020-16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928955078125" w:line="229.90779876708984" w:lineRule="auto"/>
        <w:ind w:left="782.1598052978516" w:right="-2.2802734375" w:hanging="355.1998901367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Definição da composição e presidência da Comissão Permanente de Ética do Conselho  Nacional de Recursos Hídricos - CPE/CNRH, em atendimento à Resolução CNRH 158/2014.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1962890625" w:line="229.90804195404053" w:lineRule="auto"/>
        <w:ind w:left="782.6398468017578" w:right="-6.15966796875" w:hanging="352.799987792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Apreciar a proposta de emenda à Resolução CNRH nº 213, deliberada na 42ª Reunião  Ordinária do Conselho Nacional de Recursos Hídricos, que aprovou a prorrogação, por um  ano, do mandato dos membros dos Comitês de Bacias Hidrográficas nos rios de Domínio da  União: São Francisco, Grande, Verde Grande e Paranapanema, conforme Parecer n.  00444/2020/CONJUR-MDR/CGU/AGU. Processo Sei nº 59000.007489/2020-45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1962890625" w:line="230.15780925750732" w:lineRule="auto"/>
        <w:ind w:left="779.9999237060547" w:right="-6.400146484375" w:hanging="355.9201049804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Apresentação do Relatório do Grupo de Trabalho que tratou da suspensão da emissão dos  boletos de cobrança pelo uso dos recursos hídricos e do custeio das entidades delegatárias no  exercício 2020.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7623291015625" w:line="229.90804195404053" w:lineRule="auto"/>
        <w:ind w:left="783.8397979736328" w:right="-3.399658203125" w:hanging="351.119995117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Informe sobre a construção de pautas estratégicas para o Conselho Nacional de Recursos  Hídricos.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1962890625" w:line="240" w:lineRule="auto"/>
        <w:ind w:left="426.4798736572265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Assuntos Gerais e Encerramento.</w:t>
      </w:r>
    </w:p>
    <w:sectPr>
      <w:pgSz w:h="16820" w:w="11900" w:orient="portrait"/>
      <w:pgMar w:bottom="2493.9999389648438" w:top="567.000732421875" w:left="1134.000015258789" w:right="1073.4399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